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4751" w:rsidRDefault="0094424E" w:rsidP="002E4751">
      <w:pPr>
        <w:suppressLineNumbers/>
      </w:pPr>
      <w:bookmarkStart w:id="0" w:name="_GoBack"/>
      <w:bookmarkEnd w:id="0"/>
      <w:r>
        <w:rPr>
          <w:rtl/>
        </w:rPr>
        <w:t xml:space="preserve"> </w:t>
      </w:r>
      <w:bookmarkStart w:id="1" w:name="NGCSBookmark"/>
      <w:bookmarkEnd w:id="1"/>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E4751" w:rsidTr="002E4751">
        <w:trPr>
          <w:jc w:val="center"/>
        </w:trPr>
        <w:tc>
          <w:tcPr>
            <w:tcW w:w="743" w:type="dxa"/>
            <w:hideMark/>
          </w:tcPr>
          <w:p w:rsidR="002E4751" w:rsidRDefault="002E4751">
            <w:pPr>
              <w:suppressLineNumbers/>
              <w:jc w:val="both"/>
              <w:rPr>
                <w:rFonts w:ascii="Arial" w:hAnsi="Arial"/>
                <w:b/>
                <w:bCs/>
                <w:sz w:val="26"/>
                <w:szCs w:val="26"/>
                <w:rtl/>
              </w:rPr>
            </w:pPr>
            <w:r>
              <w:rPr>
                <w:rFonts w:ascii="Arial" w:hAnsi="Arial"/>
                <w:b/>
                <w:bCs/>
                <w:sz w:val="26"/>
                <w:szCs w:val="26"/>
                <w:rtl/>
              </w:rPr>
              <w:t xml:space="preserve">לפני </w:t>
            </w:r>
          </w:p>
        </w:tc>
        <w:tc>
          <w:tcPr>
            <w:tcW w:w="8077" w:type="dxa"/>
            <w:gridSpan w:val="2"/>
          </w:tcPr>
          <w:p w:rsidR="002E4751" w:rsidRDefault="002E4751">
            <w:pPr>
              <w:suppressLineNumbers/>
              <w:rPr>
                <w:rFonts w:ascii="Arial" w:hAnsi="Arial"/>
                <w:b/>
                <w:bCs/>
                <w:sz w:val="26"/>
                <w:szCs w:val="26"/>
                <w:rtl/>
              </w:rPr>
            </w:pPr>
            <w:r>
              <w:rPr>
                <w:rFonts w:ascii="Arial" w:hAnsi="Arial"/>
                <w:b/>
                <w:bCs/>
                <w:sz w:val="26"/>
                <w:szCs w:val="26"/>
                <w:rtl/>
              </w:rPr>
              <w:t>כבוד ה</w:t>
            </w:r>
            <w:sdt>
              <w:sdtPr>
                <w:rPr>
                  <w:sz w:val="26"/>
                  <w:szCs w:val="26"/>
                  <w:rtl/>
                </w:rPr>
                <w:alias w:val="1574"/>
                <w:tag w:val="1574"/>
                <w:id w:val="-703632375"/>
                <w:text w:multiLine="1"/>
              </w:sdtPr>
              <w:sdtEndPr/>
              <w:sdtContent>
                <w:r>
                  <w:rPr>
                    <w:rFonts w:ascii="Arial" w:hAnsi="Arial"/>
                    <w:b/>
                    <w:bCs/>
                    <w:sz w:val="26"/>
                    <w:szCs w:val="26"/>
                    <w:rtl/>
                  </w:rPr>
                  <w:t>שופט</w:t>
                </w:r>
              </w:sdtContent>
            </w:sdt>
            <w:r>
              <w:rPr>
                <w:rFonts w:ascii="Arial" w:hAnsi="Arial"/>
                <w:b/>
                <w:bCs/>
                <w:sz w:val="26"/>
                <w:szCs w:val="26"/>
                <w:rtl/>
              </w:rPr>
              <w:t xml:space="preserve"> </w:t>
            </w:r>
            <w:sdt>
              <w:sdtPr>
                <w:rPr>
                  <w:sz w:val="26"/>
                  <w:szCs w:val="26"/>
                  <w:rtl/>
                </w:rPr>
                <w:alias w:val="1573"/>
                <w:tag w:val="1573"/>
                <w:id w:val="-237176708"/>
                <w:text w:multiLine="1"/>
              </w:sdtPr>
              <w:sdtEndPr/>
              <w:sdtContent>
                <w:r>
                  <w:rPr>
                    <w:rFonts w:ascii="Arial" w:hAnsi="Arial"/>
                    <w:b/>
                    <w:bCs/>
                    <w:sz w:val="26"/>
                    <w:szCs w:val="26"/>
                    <w:rtl/>
                  </w:rPr>
                  <w:t>דוד שאול גבאי ריכטר</w:t>
                </w:r>
              </w:sdtContent>
            </w:sdt>
          </w:p>
          <w:p w:rsidR="002E4751" w:rsidRDefault="002E4751">
            <w:pPr>
              <w:suppressLineNumbers/>
              <w:rPr>
                <w:sz w:val="26"/>
                <w:szCs w:val="26"/>
                <w:rtl/>
              </w:rPr>
            </w:pPr>
          </w:p>
        </w:tc>
      </w:tr>
      <w:tr w:rsidR="002E4751" w:rsidTr="002E4751">
        <w:trPr>
          <w:jc w:val="center"/>
        </w:trPr>
        <w:tc>
          <w:tcPr>
            <w:tcW w:w="3249" w:type="dxa"/>
            <w:gridSpan w:val="2"/>
          </w:tcPr>
          <w:p w:rsidR="002E4751" w:rsidRDefault="002E4751">
            <w:pPr>
              <w:suppressLineNumbers/>
            </w:pPr>
          </w:p>
          <w:sdt>
            <w:sdtPr>
              <w:rPr>
                <w:rtl/>
              </w:rPr>
              <w:alias w:val="1180"/>
              <w:tag w:val="1180"/>
              <w:id w:val="306673880"/>
              <w:text w:multiLine="1"/>
            </w:sdtPr>
            <w:sdtEndPr/>
            <w:sdtContent>
              <w:p w:rsidR="002E4751" w:rsidRDefault="002E4751">
                <w:pPr>
                  <w:suppressLineNumbers/>
                  <w:rPr>
                    <w:rFonts w:ascii="Arial" w:hAnsi="Arial"/>
                    <w:b/>
                    <w:bCs/>
                    <w:noProof w:val="0"/>
                    <w:sz w:val="26"/>
                    <w:szCs w:val="26"/>
                    <w:rtl/>
                  </w:rPr>
                </w:pPr>
                <w:r>
                  <w:rPr>
                    <w:rFonts w:ascii="Arial" w:hAnsi="Arial"/>
                    <w:b/>
                    <w:bCs/>
                    <w:noProof w:val="0"/>
                    <w:sz w:val="26"/>
                    <w:szCs w:val="26"/>
                    <w:rtl/>
                  </w:rPr>
                  <w:t>המאשימה</w:t>
                </w:r>
              </w:p>
            </w:sdtContent>
          </w:sdt>
        </w:tc>
        <w:tc>
          <w:tcPr>
            <w:tcW w:w="5571" w:type="dxa"/>
          </w:tcPr>
          <w:p w:rsidR="002E4751" w:rsidRDefault="002E4751">
            <w:pPr>
              <w:suppressLineNumbers/>
              <w:rPr>
                <w:rtl/>
              </w:rPr>
            </w:pPr>
          </w:p>
          <w:p w:rsidR="002E4751" w:rsidRDefault="005A0230">
            <w:pPr>
              <w:suppressLineNumbers/>
              <w:rPr>
                <w:b/>
                <w:bCs/>
                <w:noProof w:val="0"/>
                <w:sz w:val="26"/>
                <w:szCs w:val="26"/>
                <w:rtl/>
              </w:rPr>
            </w:pPr>
            <w:sdt>
              <w:sdtPr>
                <w:rPr>
                  <w:rFonts w:ascii="Arial" w:hAnsi="Arial"/>
                  <w:b/>
                  <w:bCs/>
                  <w:noProof w:val="0"/>
                  <w:sz w:val="26"/>
                  <w:szCs w:val="26"/>
                  <w:rtl/>
                </w:rPr>
                <w:alias w:val="3151"/>
                <w:tag w:val="3151"/>
                <w:id w:val="1488048209"/>
                <w:placeholder>
                  <w:docPart w:val="89E9812048804B298B236308C239D5B7"/>
                </w:placeholder>
                <w:text w:multiLine="1"/>
              </w:sdtPr>
              <w:sdtEndPr/>
              <w:sdtContent>
                <w:r w:rsidR="002E4751">
                  <w:rPr>
                    <w:rFonts w:ascii="Arial" w:hAnsi="Arial"/>
                    <w:b/>
                    <w:bCs/>
                    <w:noProof w:val="0"/>
                    <w:sz w:val="26"/>
                    <w:szCs w:val="26"/>
                    <w:rtl/>
                  </w:rPr>
                  <w:t>מדינת ישראל</w:t>
                </w:r>
                <w:r w:rsidR="002E4751">
                  <w:rPr>
                    <w:rFonts w:ascii="Arial" w:hAnsi="Arial"/>
                    <w:b/>
                    <w:bCs/>
                    <w:noProof w:val="0"/>
                    <w:sz w:val="26"/>
                    <w:szCs w:val="26"/>
                    <w:rtl/>
                  </w:rPr>
                  <w:br/>
                  <w:t>ע"י ב"כ עו"ד רונית ישי</w:t>
                </w:r>
                <w:r w:rsidR="002E4751">
                  <w:rPr>
                    <w:rFonts w:ascii="Arial" w:hAnsi="Arial"/>
                    <w:b/>
                    <w:bCs/>
                    <w:noProof w:val="0"/>
                    <w:sz w:val="26"/>
                    <w:szCs w:val="26"/>
                    <w:rtl/>
                  </w:rPr>
                  <w:br/>
                  <w:t>תביעות ירושלים</w:t>
                </w:r>
              </w:sdtContent>
            </w:sdt>
          </w:p>
        </w:tc>
      </w:tr>
      <w:tr w:rsidR="002E4751" w:rsidTr="002E4751">
        <w:trPr>
          <w:jc w:val="center"/>
        </w:trPr>
        <w:tc>
          <w:tcPr>
            <w:tcW w:w="8820" w:type="dxa"/>
            <w:gridSpan w:val="3"/>
          </w:tcPr>
          <w:p w:rsidR="002E4751" w:rsidRDefault="002E4751">
            <w:pPr>
              <w:suppressLineNumbers/>
              <w:rPr>
                <w:rFonts w:ascii="Arial" w:hAnsi="Arial"/>
                <w:b/>
                <w:bCs/>
                <w:noProof w:val="0"/>
                <w:sz w:val="26"/>
                <w:szCs w:val="26"/>
              </w:rPr>
            </w:pPr>
          </w:p>
          <w:p w:rsidR="002E4751" w:rsidRDefault="002E4751">
            <w:pPr>
              <w:suppressLineNumbers/>
              <w:jc w:val="center"/>
              <w:rPr>
                <w:rFonts w:ascii="Arial" w:hAnsi="Arial"/>
                <w:b/>
                <w:bCs/>
                <w:noProof w:val="0"/>
                <w:sz w:val="26"/>
                <w:szCs w:val="26"/>
                <w:rtl/>
              </w:rPr>
            </w:pPr>
            <w:r>
              <w:rPr>
                <w:rFonts w:ascii="Arial" w:hAnsi="Arial"/>
                <w:b/>
                <w:bCs/>
                <w:noProof w:val="0"/>
                <w:sz w:val="26"/>
                <w:szCs w:val="26"/>
                <w:rtl/>
              </w:rPr>
              <w:t>נגד</w:t>
            </w:r>
          </w:p>
          <w:p w:rsidR="002E4751" w:rsidRDefault="002E4751">
            <w:pPr>
              <w:suppressLineNumbers/>
              <w:rPr>
                <w:rFonts w:ascii="Arial" w:hAnsi="Arial"/>
                <w:b/>
                <w:bCs/>
                <w:noProof w:val="0"/>
                <w:sz w:val="26"/>
                <w:szCs w:val="26"/>
                <w:rtl/>
              </w:rPr>
            </w:pPr>
          </w:p>
        </w:tc>
      </w:tr>
      <w:tr w:rsidR="002E4751" w:rsidTr="002E4751">
        <w:trPr>
          <w:jc w:val="center"/>
        </w:trPr>
        <w:tc>
          <w:tcPr>
            <w:tcW w:w="3249" w:type="dxa"/>
            <w:gridSpan w:val="2"/>
            <w:hideMark/>
          </w:tcPr>
          <w:p w:rsidR="002E4751" w:rsidRDefault="005A0230">
            <w:pPr>
              <w:suppressLineNumbers/>
              <w:rPr>
                <w:rFonts w:ascii="Arial" w:hAnsi="Arial"/>
                <w:b/>
                <w:bCs/>
                <w:noProof w:val="0"/>
                <w:sz w:val="26"/>
                <w:szCs w:val="26"/>
              </w:rPr>
            </w:pPr>
            <w:sdt>
              <w:sdtPr>
                <w:rPr>
                  <w:rtl/>
                </w:rPr>
                <w:alias w:val="1184"/>
                <w:tag w:val="1184"/>
                <w:id w:val="332651711"/>
                <w:text w:multiLine="1"/>
              </w:sdtPr>
              <w:sdtEndPr/>
              <w:sdtContent>
                <w:r w:rsidR="002E4751">
                  <w:rPr>
                    <w:rFonts w:ascii="Arial" w:hAnsi="Arial"/>
                    <w:b/>
                    <w:bCs/>
                    <w:noProof w:val="0"/>
                    <w:sz w:val="26"/>
                    <w:szCs w:val="26"/>
                    <w:rtl/>
                  </w:rPr>
                  <w:t>הנאשם</w:t>
                </w:r>
              </w:sdtContent>
            </w:sdt>
          </w:p>
        </w:tc>
        <w:tc>
          <w:tcPr>
            <w:tcW w:w="5571" w:type="dxa"/>
            <w:hideMark/>
          </w:tcPr>
          <w:p w:rsidR="002E4751" w:rsidRDefault="005A0230">
            <w:pPr>
              <w:suppressLineNumbers/>
              <w:rPr>
                <w:rFonts w:ascii="Arial" w:hAnsi="Arial"/>
                <w:b/>
                <w:bCs/>
                <w:noProof w:val="0"/>
                <w:sz w:val="26"/>
                <w:szCs w:val="26"/>
              </w:rPr>
            </w:pPr>
            <w:sdt>
              <w:sdtPr>
                <w:rPr>
                  <w:rFonts w:ascii="Arial" w:hAnsi="Arial"/>
                  <w:b/>
                  <w:bCs/>
                  <w:noProof w:val="0"/>
                  <w:sz w:val="26"/>
                  <w:szCs w:val="26"/>
                  <w:rtl/>
                </w:rPr>
                <w:alias w:val="3152"/>
                <w:tag w:val="3152"/>
                <w:id w:val="-138741724"/>
                <w:placeholder>
                  <w:docPart w:val="F671E34AF96946D4BF19BA64B77ABA94"/>
                </w:placeholder>
                <w:text w:multiLine="1"/>
              </w:sdtPr>
              <w:sdtEndPr/>
              <w:sdtContent>
                <w:r w:rsidR="002E4751">
                  <w:rPr>
                    <w:rFonts w:ascii="Arial" w:hAnsi="Arial"/>
                    <w:b/>
                    <w:bCs/>
                    <w:noProof w:val="0"/>
                    <w:sz w:val="26"/>
                    <w:szCs w:val="26"/>
                    <w:rtl/>
                  </w:rPr>
                  <w:t>אמיר אבו כאמל</w:t>
                </w:r>
                <w:r w:rsidR="002E4751">
                  <w:rPr>
                    <w:rFonts w:ascii="Arial" w:hAnsi="Arial"/>
                    <w:b/>
                    <w:bCs/>
                    <w:noProof w:val="0"/>
                    <w:sz w:val="26"/>
                    <w:szCs w:val="26"/>
                    <w:rtl/>
                  </w:rPr>
                  <w:br/>
                  <w:t>ע"י ב"כ עו"ד אחמד עואודה</w:t>
                </w:r>
                <w:r w:rsidR="002E4751">
                  <w:rPr>
                    <w:rFonts w:ascii="Arial" w:hAnsi="Arial"/>
                    <w:b/>
                    <w:bCs/>
                    <w:noProof w:val="0"/>
                    <w:sz w:val="26"/>
                    <w:szCs w:val="26"/>
                    <w:rtl/>
                  </w:rPr>
                  <w:br/>
                  <w:t>מטעם הסניגוריה הציבורית</w:t>
                </w:r>
              </w:sdtContent>
            </w:sdt>
          </w:p>
        </w:tc>
      </w:tr>
      <w:tr w:rsidR="002E4751" w:rsidTr="002E4751">
        <w:trPr>
          <w:jc w:val="center"/>
        </w:trPr>
        <w:tc>
          <w:tcPr>
            <w:tcW w:w="8820" w:type="dxa"/>
            <w:gridSpan w:val="3"/>
          </w:tcPr>
          <w:p w:rsidR="002E4751" w:rsidRDefault="002E4751">
            <w:pPr>
              <w:suppressLineNumbers/>
              <w:rPr>
                <w:rtl/>
              </w:rPr>
            </w:pPr>
          </w:p>
          <w:p w:rsidR="002E4751" w:rsidRDefault="002E4751">
            <w:pPr>
              <w:suppressLineNumbers/>
            </w:pPr>
          </w:p>
          <w:p w:rsidR="002E4751" w:rsidRDefault="002E4751">
            <w:pPr>
              <w:suppressLineNumbers/>
              <w:rPr>
                <w:rtl/>
              </w:rPr>
            </w:pPr>
          </w:p>
        </w:tc>
      </w:tr>
      <w:tr w:rsidR="002E4751" w:rsidTr="002E4751">
        <w:trPr>
          <w:jc w:val="center"/>
        </w:trPr>
        <w:tc>
          <w:tcPr>
            <w:tcW w:w="8820" w:type="dxa"/>
            <w:gridSpan w:val="3"/>
          </w:tcPr>
          <w:p w:rsidR="002E4751" w:rsidRDefault="002E4751">
            <w:pPr>
              <w:bidi w:val="0"/>
              <w:jc w:val="center"/>
              <w:rPr>
                <w:rFonts w:ascii="Arial" w:hAnsi="Arial"/>
                <w:b/>
                <w:bCs/>
                <w:noProof w:val="0"/>
                <w:sz w:val="28"/>
                <w:szCs w:val="28"/>
                <w:u w:val="single"/>
                <w:rtl/>
              </w:rPr>
            </w:pPr>
            <w:r>
              <w:rPr>
                <w:rFonts w:ascii="Arial" w:hAnsi="Arial"/>
                <w:b/>
                <w:bCs/>
                <w:noProof w:val="0"/>
                <w:sz w:val="28"/>
                <w:szCs w:val="28"/>
                <w:u w:val="single"/>
                <w:rtl/>
              </w:rPr>
              <w:t>החלטה</w:t>
            </w:r>
          </w:p>
          <w:p w:rsidR="002E4751" w:rsidRPr="002E4751" w:rsidRDefault="002E4751">
            <w:pPr>
              <w:bidi w:val="0"/>
              <w:jc w:val="center"/>
              <w:rPr>
                <w:rFonts w:ascii="David" w:hAnsi="David"/>
                <w:noProof w:val="0"/>
                <w:sz w:val="28"/>
                <w:szCs w:val="28"/>
                <w:rtl/>
              </w:rPr>
            </w:pPr>
            <w:r w:rsidRPr="002E4751">
              <w:rPr>
                <w:rFonts w:ascii="David" w:hAnsi="David"/>
                <w:noProof w:val="0"/>
                <w:sz w:val="28"/>
                <w:szCs w:val="28"/>
                <w:rtl/>
              </w:rPr>
              <w:t>גרסה מותרת בפרסום</w:t>
            </w:r>
          </w:p>
        </w:tc>
      </w:tr>
    </w:tbl>
    <w:p w:rsidR="002E4751" w:rsidRDefault="002E4751" w:rsidP="002E4751">
      <w:pPr>
        <w:spacing w:line="360" w:lineRule="auto"/>
        <w:jc w:val="both"/>
        <w:rPr>
          <w:rFonts w:ascii="Arial" w:hAnsi="Arial"/>
          <w:noProof w:val="0"/>
        </w:rPr>
      </w:pPr>
    </w:p>
    <w:p w:rsidR="002E4751" w:rsidRDefault="002E4751" w:rsidP="002E4751">
      <w:pPr>
        <w:pStyle w:val="af"/>
        <w:numPr>
          <w:ilvl w:val="0"/>
          <w:numId w:val="1"/>
        </w:numPr>
        <w:spacing w:line="360" w:lineRule="auto"/>
        <w:jc w:val="both"/>
        <w:rPr>
          <w:rFonts w:ascii="Arial" w:hAnsi="Arial"/>
          <w:noProof w:val="0"/>
          <w:rtl/>
        </w:rPr>
      </w:pPr>
      <w:r>
        <w:rPr>
          <w:rFonts w:ascii="Arial" w:hAnsi="Arial"/>
          <w:noProof w:val="0"/>
          <w:rtl/>
        </w:rPr>
        <w:t>זוהי החלטה בטענה מקדמית שהעלה הסניגור לפיה עומדת לנאשם הגנה מן הצדק, וזאת מכוח סעיף 149(10) לחוק סדר הדין הפלילי [נוסח משולב], תשמ"ב-1982 (</w:t>
      </w:r>
      <w:r>
        <w:rPr>
          <w:rFonts w:ascii="Arial" w:hAnsi="Arial"/>
          <w:b/>
          <w:bCs/>
          <w:noProof w:val="0"/>
          <w:rtl/>
        </w:rPr>
        <w:t>החסד"פ</w:t>
      </w:r>
      <w:r>
        <w:rPr>
          <w:rFonts w:ascii="Arial" w:hAnsi="Arial"/>
          <w:noProof w:val="0"/>
          <w:rtl/>
        </w:rPr>
        <w:t>), לפיה כתב האישום הוגש להנחיית היועץ המשפטי לממשלה מספר 4.1202 שעניינה "משך טיפול התביעה עד להגשת כתב אישום" (</w:t>
      </w:r>
      <w:r>
        <w:rPr>
          <w:rFonts w:ascii="Arial" w:hAnsi="Arial"/>
          <w:b/>
          <w:bCs/>
          <w:noProof w:val="0"/>
          <w:rtl/>
        </w:rPr>
        <w:t>ההנחיה</w:t>
      </w:r>
      <w:r>
        <w:rPr>
          <w:rFonts w:ascii="Arial" w:hAnsi="Arial"/>
          <w:noProof w:val="0"/>
          <w:rtl/>
        </w:rPr>
        <w:t>).</w:t>
      </w:r>
    </w:p>
    <w:p w:rsidR="002E4751" w:rsidRDefault="002E4751" w:rsidP="002E4751">
      <w:pPr>
        <w:spacing w:line="360" w:lineRule="auto"/>
        <w:jc w:val="both"/>
        <w:rPr>
          <w:rFonts w:ascii="Arial" w:hAnsi="Arial"/>
          <w:b/>
          <w:bCs/>
          <w:noProof w:val="0"/>
          <w:u w:val="single"/>
          <w:rtl/>
        </w:rPr>
      </w:pPr>
    </w:p>
    <w:p w:rsidR="002E4751" w:rsidRDefault="002E4751" w:rsidP="002E4751">
      <w:pPr>
        <w:spacing w:line="360" w:lineRule="auto"/>
        <w:jc w:val="both"/>
        <w:rPr>
          <w:rFonts w:ascii="Arial" w:hAnsi="Arial"/>
          <w:b/>
          <w:bCs/>
          <w:noProof w:val="0"/>
          <w:u w:val="single"/>
          <w:rtl/>
        </w:rPr>
      </w:pPr>
      <w:r>
        <w:rPr>
          <w:rFonts w:ascii="Arial" w:hAnsi="Arial"/>
          <w:b/>
          <w:bCs/>
          <w:noProof w:val="0"/>
          <w:u w:val="single"/>
          <w:rtl/>
        </w:rPr>
        <w:t>הרקע</w:t>
      </w:r>
    </w:p>
    <w:p w:rsidR="002E4751" w:rsidRDefault="002E4751" w:rsidP="002E4751">
      <w:pPr>
        <w:pStyle w:val="af"/>
        <w:numPr>
          <w:ilvl w:val="0"/>
          <w:numId w:val="1"/>
        </w:numPr>
        <w:spacing w:line="360" w:lineRule="auto"/>
        <w:jc w:val="both"/>
        <w:rPr>
          <w:rFonts w:ascii="Arial" w:hAnsi="Arial"/>
          <w:noProof w:val="0"/>
          <w:rtl/>
        </w:rPr>
      </w:pPr>
      <w:r>
        <w:rPr>
          <w:rFonts w:ascii="Arial" w:hAnsi="Arial"/>
          <w:noProof w:val="0"/>
          <w:rtl/>
        </w:rPr>
        <w:t xml:space="preserve">נגד הנאשם הוגש ביום 22.3.2021 כתב אישום, המייחס לו ביצוע עבירות של פריצה לבניין שאינו דירה וגניבה בצוותא לפי סעיפים 407(ב) ו-29(א) לחוק העונשין, התשל"ז-1977 וקשירת קשר לפשע, לפי סעיף 499(א)(1) לחוק, בכך שביום 1.12.2017, ביחד עם אחר, קטין, ולאחר תכנון מוקדם, התפרצו השניים למקום עבודתו לשעבר של הנאשם בשוק מחנה יהודה, וגנבו ממנו מזומן בסכום המגיע ל-39,000 ₪. יצוין, כי נגד השותף הקטין לא הוגש כתב אישום. </w:t>
      </w:r>
    </w:p>
    <w:p w:rsidR="002E4751" w:rsidRDefault="002E4751" w:rsidP="002E4751">
      <w:pPr>
        <w:spacing w:line="360" w:lineRule="auto"/>
        <w:jc w:val="both"/>
        <w:rPr>
          <w:rFonts w:ascii="Arial" w:hAnsi="Arial"/>
          <w:b/>
          <w:bCs/>
          <w:noProof w:val="0"/>
          <w:u w:val="single"/>
        </w:rPr>
      </w:pPr>
    </w:p>
    <w:p w:rsidR="002E4751" w:rsidRDefault="002E4751" w:rsidP="002E4751">
      <w:pPr>
        <w:spacing w:line="360" w:lineRule="auto"/>
        <w:jc w:val="both"/>
        <w:rPr>
          <w:rFonts w:ascii="Arial" w:hAnsi="Arial"/>
          <w:b/>
          <w:bCs/>
          <w:noProof w:val="0"/>
          <w:u w:val="single"/>
          <w:rtl/>
        </w:rPr>
      </w:pPr>
      <w:r>
        <w:rPr>
          <w:rFonts w:ascii="Arial" w:hAnsi="Arial"/>
          <w:b/>
          <w:bCs/>
          <w:noProof w:val="0"/>
          <w:u w:val="single"/>
          <w:rtl/>
        </w:rPr>
        <w:t>טענות הצדדים</w:t>
      </w:r>
    </w:p>
    <w:p w:rsidR="002E4751" w:rsidRDefault="002E4751" w:rsidP="002E4751">
      <w:pPr>
        <w:pStyle w:val="af"/>
        <w:numPr>
          <w:ilvl w:val="0"/>
          <w:numId w:val="1"/>
        </w:numPr>
        <w:spacing w:line="360" w:lineRule="auto"/>
        <w:jc w:val="both"/>
        <w:rPr>
          <w:rFonts w:ascii="Arial" w:hAnsi="Arial"/>
          <w:noProof w:val="0"/>
        </w:rPr>
      </w:pPr>
      <w:r>
        <w:rPr>
          <w:rFonts w:ascii="Arial" w:hAnsi="Arial"/>
          <w:noProof w:val="0"/>
          <w:rtl/>
        </w:rPr>
        <w:t xml:space="preserve">הנאשם טוען, כי כתב האישום הוגש בניגוד להנחיה, הקובעת כי משך הזמן המירבי לטיפול התביעה בעבירת עוון או פשע הוא 18 חודשים (סעיף 4א(2)(ב) להנחיה). זאת מאחר שהתביעה לא עמדה בפרק הזמן האמור. לטענתו, פעולות החקירה האחרונות בתיק בוצעו בדצמבר 2017 והתיק הועבר לתביעה בסמוך לאחר מכן, בעוד כתב האישום הוגש רק בפברואר 2021 וחלפו יותר משלוש שנים מעת העברת התיק. נטען, כי גם אם בוצעו פעולות טכניות במהלך התקופה שלכאורה היה בהן לעצור את מניין פרקי הזמן הקצובים לטיפול בתיק מכוח 4ג להנחיה, הרי </w:t>
      </w:r>
      <w:r>
        <w:rPr>
          <w:rFonts w:ascii="Arial" w:hAnsi="Arial"/>
          <w:noProof w:val="0"/>
          <w:rtl/>
        </w:rPr>
        <w:lastRenderedPageBreak/>
        <w:t>שלא הייתה לכך הצדקה. בנוסף נטען, כי התביעה לא פעלה מראש לקבל את אישור ראש יחידת התביעות להאריך את תקופת הטיפול בתיק כנדרש בסעיף 4ד(1) להנחיה. נטען, כי בעקבות העלאת טענותיו של הסניגור בפני המאשימה, האריך ראש יחידת התביעות בדיעבד את משך הטיפול בתיק, ולטעם ההגנה, יש בכך טעם לפגם שאינו מתיישב עם ההנחיה או עם עקרונות של הגינות משפטית וצדק. בהתחשב בכל אלה ובהתחשב באי-העמדתו לדין של השותף הקטין וכן בהתחשב בטענה שלא נערך לנאשם שימוע כדין, טוען הנאשם כי עומדת לו הגנה מן הצדק כאמור ולכן הוא מבקש לבטל את כתב האישום.</w:t>
      </w:r>
    </w:p>
    <w:p w:rsidR="002E4751" w:rsidRDefault="002E4751" w:rsidP="002E4751">
      <w:pPr>
        <w:pStyle w:val="af"/>
        <w:spacing w:line="360" w:lineRule="auto"/>
        <w:ind w:left="360"/>
        <w:jc w:val="both"/>
        <w:rPr>
          <w:rFonts w:ascii="Arial" w:hAnsi="Arial"/>
          <w:noProof w:val="0"/>
        </w:rPr>
      </w:pPr>
    </w:p>
    <w:p w:rsidR="002E4751" w:rsidRDefault="002E4751" w:rsidP="002E4751">
      <w:pPr>
        <w:pStyle w:val="af"/>
        <w:numPr>
          <w:ilvl w:val="0"/>
          <w:numId w:val="1"/>
        </w:numPr>
        <w:spacing w:line="360" w:lineRule="auto"/>
        <w:jc w:val="both"/>
        <w:rPr>
          <w:rFonts w:ascii="Arial" w:hAnsi="Arial"/>
          <w:noProof w:val="0"/>
        </w:rPr>
      </w:pPr>
      <w:r>
        <w:rPr>
          <w:rFonts w:ascii="Arial" w:hAnsi="Arial"/>
          <w:noProof w:val="0"/>
          <w:rtl/>
        </w:rPr>
        <w:t xml:space="preserve">המאשימה טוענת מנגד, כי לא הייתה חריגה מהנחיית היועמ"ש. נטען, כי ביום 7.1.2018 הגיע התיק ליחידת התביעות ובו ביום נשלח מכתב יידוע לנאשם; ביום 25.7.2018 הוחזר התיק להשלמת חקירה; ביום 10.12.2018 שב התיק לטיפול התביעה והוחזר ליחידה החוקרת ביום 4.8.2019 להשלמת חקירה נוספת; התיק הוחזר לתביעה ביום 8.10.2020 והועבר למדור חסיונות לצורך הוצאת תעודת חיסיון שנחתמה ביום 9.11.2020 כשבסוף אותו חודש הוחזר התיק לתביעה, וזו הגישה את כתב האישום ביום 21.3.2021. המאשימה טוענת, כי כל הפעולות הנ"ל עצרו את מניין התקופה הקבועה בהנחיה, וכי כלל התקופה שבה טופל התיק לא עברה את 18 החודשים, ואף אם חרגה במקצת, אין הצדקה, נוכח נסיבות התיק, להורות על ביטול כתב האישום. לכן אף לא נדרש אישורו של היועץ המשפטי לממשלה. עוד נטען ע"י המאשימה, כי הצדדים באו בדברים במסגרת משא ומתן ביניהם, והדברים לא הועלו ע"י ההגנה במסגרת זו, ויש בכך טעם לפגם. בדברי המאשימה לא הייתה התייחסות לטענות הסניגור הנוספת שפורטו לעיל. </w:t>
      </w:r>
    </w:p>
    <w:p w:rsidR="002E4751" w:rsidRDefault="002E4751" w:rsidP="002E4751">
      <w:pPr>
        <w:spacing w:line="360" w:lineRule="auto"/>
        <w:jc w:val="both"/>
        <w:rPr>
          <w:rFonts w:ascii="Arial" w:hAnsi="Arial"/>
          <w:b/>
          <w:bCs/>
          <w:noProof w:val="0"/>
          <w:u w:val="single"/>
        </w:rPr>
      </w:pPr>
    </w:p>
    <w:p w:rsidR="002E4751" w:rsidRDefault="002E4751" w:rsidP="002E4751">
      <w:pPr>
        <w:spacing w:line="360" w:lineRule="auto"/>
        <w:jc w:val="both"/>
        <w:rPr>
          <w:rFonts w:ascii="Arial" w:hAnsi="Arial"/>
          <w:b/>
          <w:bCs/>
          <w:noProof w:val="0"/>
          <w:u w:val="single"/>
          <w:rtl/>
        </w:rPr>
      </w:pPr>
      <w:r>
        <w:rPr>
          <w:rFonts w:ascii="Arial" w:hAnsi="Arial"/>
          <w:b/>
          <w:bCs/>
          <w:noProof w:val="0"/>
          <w:u w:val="single"/>
          <w:rtl/>
        </w:rPr>
        <w:t>דיון והכרעה</w:t>
      </w:r>
    </w:p>
    <w:p w:rsidR="002E4751" w:rsidRDefault="002E4751" w:rsidP="002E4751">
      <w:pPr>
        <w:pStyle w:val="af"/>
        <w:numPr>
          <w:ilvl w:val="0"/>
          <w:numId w:val="1"/>
        </w:numPr>
        <w:spacing w:line="360" w:lineRule="auto"/>
        <w:jc w:val="both"/>
        <w:rPr>
          <w:rFonts w:ascii="Arial" w:hAnsi="Arial"/>
          <w:noProof w:val="0"/>
          <w:rtl/>
        </w:rPr>
      </w:pPr>
      <w:r>
        <w:rPr>
          <w:rFonts w:ascii="Arial" w:hAnsi="Arial"/>
          <w:noProof w:val="0"/>
          <w:rtl/>
        </w:rPr>
        <w:t xml:space="preserve">לאחר ששקלתי את טענות הצדדים, דין הבקשה להתקבל, ויש להורות על ביטול כתב האישום. </w:t>
      </w:r>
    </w:p>
    <w:p w:rsidR="002E4751" w:rsidRDefault="002E4751" w:rsidP="002E4751">
      <w:pPr>
        <w:pStyle w:val="af"/>
        <w:spacing w:line="360" w:lineRule="auto"/>
        <w:ind w:left="360"/>
        <w:jc w:val="both"/>
        <w:rPr>
          <w:rFonts w:ascii="Arial" w:hAnsi="Arial"/>
          <w:noProof w:val="0"/>
        </w:rPr>
      </w:pPr>
    </w:p>
    <w:p w:rsidR="002E4751" w:rsidRDefault="002E4751" w:rsidP="002E4751">
      <w:pPr>
        <w:pStyle w:val="af"/>
        <w:numPr>
          <w:ilvl w:val="0"/>
          <w:numId w:val="1"/>
        </w:numPr>
        <w:spacing w:line="360" w:lineRule="auto"/>
        <w:jc w:val="both"/>
        <w:rPr>
          <w:rFonts w:ascii="Arial" w:hAnsi="Arial"/>
          <w:noProof w:val="0"/>
        </w:rPr>
      </w:pPr>
      <w:r>
        <w:rPr>
          <w:rFonts w:ascii="Arial" w:hAnsi="Arial"/>
          <w:noProof w:val="0"/>
          <w:rtl/>
        </w:rPr>
        <w:t xml:space="preserve">סעיף 57א(א) לחסד"פ קובע כך:  </w:t>
      </w:r>
    </w:p>
    <w:p w:rsidR="002E4751" w:rsidRDefault="002E4751" w:rsidP="002E4751">
      <w:pPr>
        <w:pStyle w:val="af"/>
        <w:spacing w:line="360" w:lineRule="auto"/>
        <w:ind w:left="680" w:right="680"/>
        <w:jc w:val="both"/>
        <w:rPr>
          <w:rFonts w:ascii="Arial" w:hAnsi="Arial"/>
          <w:b/>
          <w:bCs/>
          <w:noProof w:val="0"/>
        </w:rPr>
      </w:pPr>
      <w:r>
        <w:rPr>
          <w:rFonts w:ascii="Arial" w:hAnsi="Arial"/>
          <w:b/>
          <w:bCs/>
          <w:noProof w:val="0"/>
          <w:rtl/>
        </w:rPr>
        <w:t xml:space="preserve">משך הליכי חקירה והעמדה לדין יהי בהתאם לתקופות שייקבעו בנוהלי רשויות החקירה באישור היועץ המשפטי לממשלה ובנחיות היועץ המשפטי לממשלה, לפי העניין; </w:t>
      </w:r>
      <w:r>
        <w:rPr>
          <w:rFonts w:ascii="Arial" w:hAnsi="Arial"/>
          <w:b/>
          <w:bCs/>
          <w:noProof w:val="0"/>
          <w:u w:val="single"/>
          <w:rtl/>
        </w:rPr>
        <w:t>לא יוגש כתב אישום אם חלפו התקופות הקבועות בנהלים ובהנחיות כאמור, אלא בהסכמת היועץ המשפטי לממשלה</w:t>
      </w:r>
      <w:r>
        <w:rPr>
          <w:rFonts w:ascii="Arial" w:hAnsi="Arial"/>
          <w:b/>
          <w:bCs/>
          <w:noProof w:val="0"/>
          <w:rtl/>
        </w:rPr>
        <w:t xml:space="preserve"> </w:t>
      </w:r>
      <w:r>
        <w:rPr>
          <w:rFonts w:ascii="Arial" w:hAnsi="Arial"/>
          <w:noProof w:val="0"/>
          <w:rtl/>
        </w:rPr>
        <w:t>(ההדגשה הוספה)</w:t>
      </w:r>
      <w:r>
        <w:rPr>
          <w:rFonts w:ascii="Arial" w:hAnsi="Arial"/>
          <w:b/>
          <w:bCs/>
          <w:noProof w:val="0"/>
          <w:rtl/>
        </w:rPr>
        <w:t>.</w:t>
      </w:r>
    </w:p>
    <w:p w:rsidR="002E4751" w:rsidRDefault="002E4751" w:rsidP="002E4751">
      <w:pPr>
        <w:pStyle w:val="af"/>
        <w:spacing w:line="360" w:lineRule="auto"/>
        <w:ind w:left="360"/>
        <w:jc w:val="both"/>
        <w:rPr>
          <w:rFonts w:ascii="Arial" w:hAnsi="Arial"/>
          <w:noProof w:val="0"/>
        </w:rPr>
      </w:pPr>
    </w:p>
    <w:p w:rsidR="002E4751" w:rsidRDefault="002E4751" w:rsidP="002E4751">
      <w:pPr>
        <w:pStyle w:val="af"/>
        <w:numPr>
          <w:ilvl w:val="0"/>
          <w:numId w:val="1"/>
        </w:numPr>
        <w:spacing w:line="360" w:lineRule="auto"/>
        <w:jc w:val="both"/>
        <w:rPr>
          <w:rFonts w:ascii="Arial" w:hAnsi="Arial"/>
          <w:noProof w:val="0"/>
        </w:rPr>
      </w:pPr>
      <w:r>
        <w:rPr>
          <w:rFonts w:ascii="Arial" w:hAnsi="Arial"/>
          <w:noProof w:val="0"/>
          <w:rtl/>
        </w:rPr>
        <w:t>הרציונאלים העומדים בבסיס סעיף זה ובבסיס ההנחיה ואף בבסיס "נוהל אח"מ: הגבלת משך החקירה נגד חשוד מס' 300.05.166" (</w:t>
      </w:r>
      <w:r>
        <w:rPr>
          <w:rFonts w:ascii="Arial" w:hAnsi="Arial"/>
          <w:b/>
          <w:bCs/>
          <w:noProof w:val="0"/>
          <w:rtl/>
        </w:rPr>
        <w:t>נוהל אח"מ</w:t>
      </w:r>
      <w:r>
        <w:rPr>
          <w:rFonts w:ascii="Arial" w:hAnsi="Arial"/>
          <w:noProof w:val="0"/>
          <w:rtl/>
        </w:rPr>
        <w:t>) הם אלה:</w:t>
      </w:r>
    </w:p>
    <w:p w:rsidR="002E4751" w:rsidRDefault="002E4751" w:rsidP="002E4751">
      <w:pPr>
        <w:pStyle w:val="af"/>
        <w:spacing w:line="360" w:lineRule="auto"/>
        <w:ind w:left="680" w:right="680"/>
        <w:jc w:val="both"/>
        <w:rPr>
          <w:rFonts w:ascii="David" w:hAnsi="David"/>
        </w:rPr>
      </w:pPr>
      <w:r>
        <w:rPr>
          <w:rFonts w:ascii="David" w:hAnsi="David"/>
          <w:b/>
          <w:bCs/>
          <w:rtl/>
        </w:rPr>
        <w:lastRenderedPageBreak/>
        <w:t>הימשכות הליכי חקירה מגלמת פגיעה בכמה אינטרסים מוגנים וזכויות בהליך הפלילי: ראשית, נפגעת ציפייתו של החשוד למיצוי מהיר של ההליכים נגדו. שנית, ככל שהחקירה נמשכת, גדל הקושי להביא ראיות מלאות ומהימנות... ויש בכך כדי להכביד על ניהול ההליכים המשפטיים. שלישית, הימשכות ההליכים עלולה לרפות את ידיו של נפגע העבירה, אשר מסר תלונה או הודעה וממתין להתקדמות ההליכים ולמסירת עדותו במשפט. רביעית, הימשכות הליכי החקירה עלולה לפגוע באמון הציבור במשטרת ישראל</w:t>
      </w:r>
      <w:r>
        <w:rPr>
          <w:rFonts w:ascii="David" w:hAnsi="David"/>
          <w:rtl/>
        </w:rPr>
        <w:t>"</w:t>
      </w:r>
      <w:r>
        <w:rPr>
          <w:rFonts w:ascii="David" w:hAnsi="David"/>
          <w:b/>
          <w:bCs/>
          <w:rtl/>
        </w:rPr>
        <w:t xml:space="preserve"> </w:t>
      </w:r>
      <w:r>
        <w:rPr>
          <w:rFonts w:ascii="David" w:hAnsi="David"/>
          <w:rtl/>
        </w:rPr>
        <w:t xml:space="preserve">(סעיף ג' לנוהל אח"מ). </w:t>
      </w:r>
    </w:p>
    <w:p w:rsidR="002E4751" w:rsidRDefault="002E4751" w:rsidP="002E4751">
      <w:pPr>
        <w:spacing w:line="360" w:lineRule="auto"/>
        <w:ind w:right="680"/>
        <w:jc w:val="both"/>
        <w:rPr>
          <w:rFonts w:ascii="David" w:hAnsi="David"/>
          <w:sz w:val="26"/>
          <w:szCs w:val="26"/>
          <w:rtl/>
        </w:rPr>
      </w:pPr>
    </w:p>
    <w:p w:rsidR="002E4751" w:rsidRDefault="002E4751" w:rsidP="002E4751">
      <w:pPr>
        <w:pStyle w:val="af"/>
        <w:numPr>
          <w:ilvl w:val="0"/>
          <w:numId w:val="1"/>
        </w:numPr>
        <w:spacing w:line="360" w:lineRule="auto"/>
        <w:jc w:val="both"/>
        <w:rPr>
          <w:rFonts w:ascii="Arial" w:hAnsi="Arial"/>
          <w:b/>
          <w:bCs/>
          <w:noProof w:val="0"/>
          <w:rtl/>
        </w:rPr>
      </w:pPr>
      <w:r>
        <w:rPr>
          <w:rFonts w:ascii="Arial" w:hAnsi="Arial"/>
          <w:noProof w:val="0"/>
          <w:rtl/>
        </w:rPr>
        <w:t xml:space="preserve">בחינת מכלול העובדות שהוצגו ע"י הצדדים מלמדת, כי בין מועד קבלת התיק בתביעות לבין השלמת החקירה הראשונה עברו כשישה חודשים (ינואר – יולי 2018), ואף אם נפחית חודש אחד בשל שליחת מכתב השימוע (סעיף 4ג3 להנחיה), עברו </w:t>
      </w:r>
      <w:r>
        <w:rPr>
          <w:rFonts w:ascii="Arial" w:hAnsi="Arial"/>
          <w:b/>
          <w:bCs/>
          <w:noProof w:val="0"/>
          <w:rtl/>
        </w:rPr>
        <w:t>5 חודשים</w:t>
      </w:r>
      <w:r>
        <w:rPr>
          <w:rFonts w:ascii="Arial" w:hAnsi="Arial"/>
          <w:noProof w:val="0"/>
          <w:rtl/>
        </w:rPr>
        <w:t xml:space="preserve"> הנמנים בתקופת הטיפול. השלמת החקירה בין יולי לדצמבר 2018 (5 חודשים) עוצרת את מניין התקופה, ובין דצמבר 2018 לאוגוסט 2019 חלפו </w:t>
      </w:r>
      <w:r>
        <w:rPr>
          <w:rFonts w:ascii="Arial" w:hAnsi="Arial"/>
          <w:b/>
          <w:bCs/>
          <w:noProof w:val="0"/>
          <w:rtl/>
        </w:rPr>
        <w:t>8 חודשים</w:t>
      </w:r>
      <w:r>
        <w:rPr>
          <w:rFonts w:ascii="Arial" w:hAnsi="Arial"/>
          <w:noProof w:val="0"/>
          <w:rtl/>
        </w:rPr>
        <w:t xml:space="preserve"> שבהם שהה התיק בתביעות, תקופה הנמנית בתקופת הטיפול. התיק נשלח להשלמת חקירה שניה שארכה בין אוגוסט 2019 לאוקטובר 2020. מאחר שלפי סעיף 4ג1 והערת השוליים שבו, נקבע כי "</w:t>
      </w:r>
      <w:r>
        <w:rPr>
          <w:rFonts w:ascii="Arial" w:hAnsi="Arial"/>
          <w:b/>
          <w:bCs/>
          <w:noProof w:val="0"/>
          <w:rtl/>
        </w:rPr>
        <w:t>פרק הזמן שממועד הוראה להשלמת חקירה ועד להעברת חומר החקירה בחזרה לתובע לאחר השלמת חקירה אינו מובא במניין משך חקירה, אלא אם עלה על 6 חודשים, אז מובאת תקופה זו במניין משך החקירה</w:t>
      </w:r>
      <w:r>
        <w:rPr>
          <w:rFonts w:ascii="Arial" w:hAnsi="Arial"/>
          <w:noProof w:val="0"/>
          <w:rtl/>
        </w:rPr>
        <w:t xml:space="preserve">", הרי שיש להקפיא את מניין התקופה ל-6 חודשים בלבד (אוגוסט 2019 – ינואר 2020), ולכן יש להוסיף למניין התקופה את החודשים פברואר 2020 עד אוקטובר 2020, דהיינו </w:t>
      </w:r>
      <w:r>
        <w:rPr>
          <w:rFonts w:ascii="Arial" w:hAnsi="Arial"/>
          <w:b/>
          <w:bCs/>
          <w:noProof w:val="0"/>
          <w:rtl/>
        </w:rPr>
        <w:t>8 חודשים</w:t>
      </w:r>
      <w:r>
        <w:rPr>
          <w:rFonts w:ascii="Arial" w:hAnsi="Arial"/>
          <w:noProof w:val="0"/>
          <w:rtl/>
        </w:rPr>
        <w:t xml:space="preserve">. לאחר מכן הועבר התיק לקבלת תעודת חיסיון, מהלך שארך חודש שאינו נמנה על התקופה (סעיף 4ג2 להנחיה). בהנחה שהתיק חזר לתביעה בסוף חודש נובמבר 2020 והוגש בחודש מרץ 2021, הרי שיש להוסיף </w:t>
      </w:r>
      <w:r>
        <w:rPr>
          <w:rFonts w:ascii="Arial" w:hAnsi="Arial"/>
          <w:b/>
          <w:bCs/>
          <w:noProof w:val="0"/>
          <w:rtl/>
        </w:rPr>
        <w:t>4 חודשים</w:t>
      </w:r>
      <w:r>
        <w:rPr>
          <w:rFonts w:ascii="Arial" w:hAnsi="Arial"/>
          <w:noProof w:val="0"/>
          <w:rtl/>
        </w:rPr>
        <w:t xml:space="preserve"> למניין התקופה. </w:t>
      </w:r>
      <w:r>
        <w:rPr>
          <w:rFonts w:ascii="Arial" w:hAnsi="Arial"/>
          <w:b/>
          <w:bCs/>
          <w:noProof w:val="0"/>
          <w:rtl/>
        </w:rPr>
        <w:t xml:space="preserve">מכאן, משך תקופת הטיפול בתיק עמדה על כ-25 חודשים, בעוד התקופה המירבית לכך עומדת על 18 חודשים. </w:t>
      </w:r>
      <w:r>
        <w:rPr>
          <w:rFonts w:ascii="Arial" w:hAnsi="Arial"/>
          <w:noProof w:val="0"/>
          <w:rtl/>
        </w:rPr>
        <w:t>אין מדובר בחריגה של מה-בכך, אלא בחריגה ממשית מן ההנחיה ומהוראות סעיף 57א(א) לחסד"פ.</w:t>
      </w:r>
    </w:p>
    <w:p w:rsidR="002E4751" w:rsidRDefault="002E4751" w:rsidP="002E4751">
      <w:pPr>
        <w:pStyle w:val="af"/>
        <w:spacing w:line="360" w:lineRule="auto"/>
        <w:ind w:left="360"/>
        <w:jc w:val="both"/>
        <w:rPr>
          <w:rFonts w:ascii="Arial" w:hAnsi="Arial"/>
          <w:b/>
          <w:bCs/>
          <w:noProof w:val="0"/>
        </w:rPr>
      </w:pPr>
    </w:p>
    <w:p w:rsidR="002E4751" w:rsidRDefault="002E4751" w:rsidP="002E4751">
      <w:pPr>
        <w:pStyle w:val="af"/>
        <w:numPr>
          <w:ilvl w:val="0"/>
          <w:numId w:val="1"/>
        </w:numPr>
        <w:spacing w:line="360" w:lineRule="auto"/>
        <w:jc w:val="both"/>
        <w:rPr>
          <w:rStyle w:val="default"/>
          <w:rFonts w:ascii="David" w:hAnsi="David"/>
        </w:rPr>
      </w:pPr>
      <w:r>
        <w:rPr>
          <w:rFonts w:ascii="David" w:hAnsi="David"/>
          <w:noProof w:val="0"/>
          <w:rtl/>
        </w:rPr>
        <w:t>סברתי שיש להורות על מחיקת כתב האישום, אך לא בשל קיומה של טענת הגנה מן הצדק, אלא בשל לשונו הברורה של סעיף 57א לחסד"פ שצוטטה לעיל. לשון הסעיף היא לשון מצווה שאינה משתמעת לשני פנים</w:t>
      </w:r>
      <w:r>
        <w:rPr>
          <w:rStyle w:val="af0"/>
          <w:rFonts w:ascii="David" w:hAnsi="David"/>
          <w:noProof w:val="0"/>
          <w:rtl/>
        </w:rPr>
        <w:footnoteReference w:id="1"/>
      </w:r>
      <w:r>
        <w:rPr>
          <w:rFonts w:ascii="David" w:hAnsi="David"/>
          <w:noProof w:val="0"/>
          <w:rtl/>
        </w:rPr>
        <w:t>: "</w:t>
      </w:r>
      <w:r>
        <w:rPr>
          <w:rStyle w:val="default"/>
          <w:rFonts w:ascii="David" w:hAnsi="David" w:hint="cs"/>
          <w:b/>
          <w:bCs/>
          <w:rtl/>
        </w:rPr>
        <w:t>לא יוגש כתב אישום אם חלפו התקופות הקבועות בנהלים ובהנחיות כאמור אלא בהסכמת היועץ המשפטי לממשלה</w:t>
      </w:r>
      <w:r>
        <w:rPr>
          <w:rStyle w:val="default"/>
          <w:rFonts w:ascii="David" w:hAnsi="David" w:hint="cs"/>
          <w:rtl/>
        </w:rPr>
        <w:t>" (ההדגשה הוספה).</w:t>
      </w:r>
    </w:p>
    <w:p w:rsidR="002E4751" w:rsidRDefault="002E4751" w:rsidP="002E4751">
      <w:pPr>
        <w:pStyle w:val="af"/>
      </w:pPr>
    </w:p>
    <w:p w:rsidR="002E4751" w:rsidRDefault="002E4751" w:rsidP="002E4751">
      <w:pPr>
        <w:pStyle w:val="af"/>
        <w:numPr>
          <w:ilvl w:val="0"/>
          <w:numId w:val="1"/>
        </w:numPr>
        <w:spacing w:line="360" w:lineRule="auto"/>
        <w:jc w:val="both"/>
        <w:rPr>
          <w:rFonts w:ascii="David" w:hAnsi="David"/>
          <w:noProof w:val="0"/>
          <w:rtl/>
        </w:rPr>
      </w:pPr>
      <w:r>
        <w:rPr>
          <w:rFonts w:ascii="David" w:hAnsi="David"/>
          <w:noProof w:val="0"/>
          <w:rtl/>
        </w:rPr>
        <w:lastRenderedPageBreak/>
        <w:t xml:space="preserve">לטעמי, טעתה המאשימה בכך שלא ביקשה את אישור היועץ המשפט לממשלה טרם הגשת כתב האישום. כפי שפירטתי לעיל, די בכך שהשלמת החקירה הנוספת ארכה מעל לנדרש ובניגוד להנחיות, על מנת שכבר באותו מועד, היה על התביעה לפעול לקבלת האישורים הדרושים להמשך הטיפול בתיק בזמן אמת, ובוודאי שלא בדיעבד. אינני נדרש לשאלת מהות ההשלמות שבוצעו, ודי בעובדות עליהן הצביעו הצדדים, כדי ללמד שהתנהלות התביעה והיחידה החוקרת לא עלתה בקנה אחד עם הנחיה. </w:t>
      </w:r>
    </w:p>
    <w:p w:rsidR="002E4751" w:rsidRDefault="002E4751" w:rsidP="002E4751">
      <w:pPr>
        <w:pStyle w:val="af"/>
        <w:rPr>
          <w:rFonts w:ascii="David" w:hAnsi="David"/>
          <w:noProof w:val="0"/>
        </w:rPr>
      </w:pPr>
    </w:p>
    <w:p w:rsidR="002E4751" w:rsidRDefault="002E4751" w:rsidP="002E4751">
      <w:pPr>
        <w:pStyle w:val="af"/>
        <w:numPr>
          <w:ilvl w:val="0"/>
          <w:numId w:val="1"/>
        </w:numPr>
        <w:spacing w:line="360" w:lineRule="auto"/>
        <w:jc w:val="both"/>
        <w:rPr>
          <w:rFonts w:ascii="David" w:hAnsi="David"/>
          <w:noProof w:val="0"/>
          <w:rtl/>
        </w:rPr>
      </w:pPr>
      <w:r>
        <w:rPr>
          <w:rFonts w:ascii="David" w:hAnsi="David"/>
          <w:noProof w:val="0"/>
          <w:rtl/>
        </w:rPr>
        <w:t>כאמור, לשון סעיף 57א(א) לחוק מחייבת, ואינה מאפשרת הפעלת שיקול דעת, בשאלת קבלת אישור היועץ המשפטי הממשלה להגשת כתב אישום בחריגה מהנחית היועץ עצמו. יוער, כי אין מחלוקת שההנחיה חלה על ענייננו, הואיל ובסעיף 2א לה מצוין כי היא נכנסה לתוקף ביום 10.10.2019 ותחול על עבירות שטרם התיישנו באותה עת, כבמקרנו.</w:t>
      </w:r>
    </w:p>
    <w:p w:rsidR="002E4751" w:rsidRDefault="002E4751" w:rsidP="002E4751">
      <w:pPr>
        <w:pStyle w:val="af"/>
        <w:rPr>
          <w:rFonts w:ascii="David" w:hAnsi="David"/>
          <w:noProof w:val="0"/>
        </w:rPr>
      </w:pPr>
    </w:p>
    <w:p w:rsidR="002E4751" w:rsidRDefault="002E4751" w:rsidP="002E4751">
      <w:pPr>
        <w:pStyle w:val="af"/>
        <w:numPr>
          <w:ilvl w:val="0"/>
          <w:numId w:val="1"/>
        </w:numPr>
        <w:spacing w:line="360" w:lineRule="auto"/>
        <w:jc w:val="both"/>
        <w:rPr>
          <w:rFonts w:ascii="David" w:hAnsi="David"/>
          <w:noProof w:val="0"/>
          <w:rtl/>
        </w:rPr>
      </w:pPr>
      <w:r>
        <w:rPr>
          <w:rFonts w:ascii="David" w:hAnsi="David"/>
          <w:noProof w:val="0"/>
          <w:rtl/>
        </w:rPr>
        <w:t>ב"כ המאשימה עמדה בצדק על הקושי הממשי שמעוררת תוצאה של ביטול כתב אישום בנסיבות לכאוריות חמורות של ביצוע עבירה בצוותא, שהנזק בצדה אינו מבוטל. עם זאת, אותם טיעונים ממש היו צריכים לעמוד לנגד עיניי המאשימה בעת ניהולה את התיק, והיה עליה לגבש כתב האישום תוך ביצוע השלמות חקירה נדרשות באופן ההולם את חומרת האירוע ונסיבותיו הלכאוריות. כאשר רשות שלטונית אינה פועלת בהתאם להנחיותיה שלה, הדבר פוגע באותם רציונאלים שביקשו המחוקק והיועץ המשפטי לממשלה למנוע, ועל כך יש להצר. פגיעה באותם רציונאלים, אף מקימה טענה של הגנה מן הצדק, שכן ההתנהלות האמורה עומדת בסתירה מהותית לעקרונות של צדק והגינות משפטית. אני ער לעומס בו מצויה התביעה, ואולם אין בעומס זה להצדיק התנהלות כגון זו.</w:t>
      </w:r>
    </w:p>
    <w:p w:rsidR="002E4751" w:rsidRDefault="002E4751" w:rsidP="002E4751">
      <w:pPr>
        <w:pStyle w:val="af"/>
        <w:rPr>
          <w:rFonts w:ascii="David" w:hAnsi="David"/>
          <w:noProof w:val="0"/>
        </w:rPr>
      </w:pPr>
    </w:p>
    <w:p w:rsidR="002E4751" w:rsidRDefault="002E4751" w:rsidP="002E4751">
      <w:pPr>
        <w:pStyle w:val="af"/>
        <w:numPr>
          <w:ilvl w:val="0"/>
          <w:numId w:val="1"/>
        </w:numPr>
        <w:spacing w:line="360" w:lineRule="auto"/>
        <w:jc w:val="both"/>
        <w:rPr>
          <w:rFonts w:ascii="David" w:hAnsi="David"/>
          <w:noProof w:val="0"/>
          <w:rtl/>
        </w:rPr>
      </w:pPr>
      <w:r>
        <w:rPr>
          <w:rFonts w:ascii="David" w:hAnsi="David"/>
          <w:noProof w:val="0"/>
          <w:rtl/>
        </w:rPr>
        <w:t xml:space="preserve">לפיכך, משלא נתבקש ולא נתקבל אישור היועץ המשפטי לממשלה להגשת כתב האישום באיחור, בהתחשב בהנחיה, יש להורות על ביטול כתב האישום, וכך אני מורה. </w:t>
      </w:r>
    </w:p>
    <w:p w:rsidR="002E4751" w:rsidRDefault="002E4751" w:rsidP="002E4751">
      <w:pPr>
        <w:pStyle w:val="af"/>
        <w:rPr>
          <w:rFonts w:ascii="David" w:hAnsi="David"/>
          <w:noProof w:val="0"/>
        </w:rPr>
      </w:pPr>
    </w:p>
    <w:p w:rsidR="002E4751" w:rsidRDefault="002E4751" w:rsidP="002E4751">
      <w:pPr>
        <w:pStyle w:val="af"/>
        <w:numPr>
          <w:ilvl w:val="0"/>
          <w:numId w:val="1"/>
        </w:numPr>
        <w:spacing w:line="360" w:lineRule="auto"/>
        <w:jc w:val="both"/>
        <w:rPr>
          <w:rFonts w:ascii="Arial" w:hAnsi="Arial"/>
          <w:noProof w:val="0"/>
          <w:rtl/>
        </w:rPr>
      </w:pPr>
      <w:r>
        <w:rPr>
          <w:rFonts w:ascii="Arial" w:hAnsi="Arial"/>
          <w:noProof w:val="0"/>
          <w:rtl/>
        </w:rPr>
        <w:t>יש לשלוח לצדדים. הדיון הקבוע ליום 17.4.2023 מבוטל.</w:t>
      </w:r>
    </w:p>
    <w:p w:rsidR="002E4751" w:rsidRDefault="002E4751" w:rsidP="002E4751">
      <w:pPr>
        <w:spacing w:line="360" w:lineRule="auto"/>
        <w:jc w:val="both"/>
        <w:rPr>
          <w:rFonts w:ascii="Arial" w:hAnsi="Arial"/>
          <w:noProof w:val="0"/>
          <w:rtl/>
        </w:rPr>
      </w:pPr>
    </w:p>
    <w:p w:rsidR="002E4751" w:rsidRDefault="002E4751" w:rsidP="002E4751">
      <w:pPr>
        <w:spacing w:line="360" w:lineRule="auto"/>
        <w:jc w:val="both"/>
        <w:rPr>
          <w:rFonts w:ascii="Arial" w:hAnsi="Arial"/>
          <w:noProof w:val="0"/>
          <w:rtl/>
        </w:rPr>
      </w:pPr>
      <w:r>
        <w:rPr>
          <w:rFonts w:ascii="Arial" w:hAnsi="Arial"/>
          <w:noProof w:val="0"/>
          <w:rtl/>
        </w:rPr>
        <w:t xml:space="preserve">ניתנה היום, </w:t>
      </w:r>
      <w:sdt>
        <w:sdtPr>
          <w:rPr>
            <w:rtl/>
          </w:rPr>
          <w:alias w:val="1455"/>
          <w:tag w:val="1455"/>
          <w:id w:val="-480463880"/>
          <w:text w:multiLine="1"/>
        </w:sdtPr>
        <w:sdtEndPr/>
        <w:sdtContent>
          <w:r>
            <w:rPr>
              <w:rFonts w:ascii="Arial" w:hAnsi="Arial"/>
              <w:noProof w:val="0"/>
              <w:rtl/>
            </w:rPr>
            <w:t>כ"ו ניסן תשפ"ג</w:t>
          </w:r>
        </w:sdtContent>
      </w:sdt>
      <w:r>
        <w:rPr>
          <w:rFonts w:ascii="Arial" w:hAnsi="Arial"/>
          <w:noProof w:val="0"/>
          <w:rtl/>
        </w:rPr>
        <w:t xml:space="preserve">, </w:t>
      </w:r>
      <w:sdt>
        <w:sdtPr>
          <w:rPr>
            <w:rtl/>
          </w:rPr>
          <w:alias w:val="1456"/>
          <w:tag w:val="1456"/>
          <w:id w:val="-1897261079"/>
          <w:text w:multiLine="1"/>
        </w:sdtPr>
        <w:sdtEndPr/>
        <w:sdtContent>
          <w:r>
            <w:rPr>
              <w:rFonts w:ascii="Arial" w:hAnsi="Arial"/>
              <w:noProof w:val="0"/>
              <w:rtl/>
            </w:rPr>
            <w:t>17 אפריל 2023</w:t>
          </w:r>
        </w:sdtContent>
      </w:sdt>
      <w:r>
        <w:rPr>
          <w:rFonts w:ascii="Arial" w:hAnsi="Arial"/>
          <w:noProof w:val="0"/>
          <w:rtl/>
        </w:rPr>
        <w:t>, בהעדר הצדדים.</w:t>
      </w:r>
    </w:p>
    <w:p w:rsidR="002E4751" w:rsidRDefault="005A0230" w:rsidP="002E4751">
      <w:pPr>
        <w:tabs>
          <w:tab w:val="left" w:pos="2553"/>
        </w:tabs>
        <w:ind w:left="5040"/>
        <w:rPr>
          <w:rtl/>
        </w:rPr>
      </w:pPr>
      <w:sdt>
        <w:sdtPr>
          <w:rPr>
            <w:rtl/>
          </w:rPr>
          <w:alias w:val="2045"/>
          <w:tag w:val="2045"/>
          <w:id w:val="-1794206761"/>
          <w:placeholder>
            <w:docPart w:val="3B824677E23247C6A45CE73AA619AC41"/>
          </w:placeholder>
          <w:showingPlcHdr/>
          <w:text w:multiLine="1"/>
        </w:sdtPr>
        <w:sdtEndPr/>
        <w:sdtContent>
          <w:r w:rsidR="002E4751">
            <w:rPr>
              <w:rtl/>
            </w:rPr>
            <w:t xml:space="preserve">     </w:t>
          </w:r>
        </w:sdtContent>
      </w:sdt>
    </w:p>
    <w:p w:rsidR="002E4751" w:rsidRDefault="005A0230" w:rsidP="002E4751">
      <w:pPr>
        <w:tabs>
          <w:tab w:val="left" w:pos="2553"/>
        </w:tabs>
        <w:jc w:val="right"/>
      </w:pPr>
      <w:sdt>
        <w:sdtPr>
          <w:rPr>
            <w:rtl/>
          </w:rPr>
          <w:alias w:val="MergeField"/>
          <w:tag w:val="1237"/>
          <w:id w:val="1934085699"/>
        </w:sdtPr>
        <w:sdtEndPr/>
        <w:sdtContent>
          <w:r w:rsidR="00C55E3E">
            <w:drawing>
              <wp:inline distT="0" distB="0" distL="0" distR="0" wp14:editId="50D07946">
                <wp:extent cx="1659636" cy="5349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659636" cy="534924"/>
                        </a:xfrm>
                        <a:prstGeom prst="rect">
                          <a:avLst/>
                        </a:prstGeom>
                      </pic:spPr>
                    </pic:pic>
                  </a:graphicData>
                </a:graphic>
              </wp:inline>
            </w:drawing>
          </w:r>
        </w:sdtContent>
      </w:sdt>
    </w:p>
    <w:p w:rsidR="002E4751" w:rsidRDefault="002E4751" w:rsidP="002E4751">
      <w:pPr>
        <w:tabs>
          <w:tab w:val="left" w:pos="2553"/>
        </w:tabs>
        <w:jc w:val="right"/>
        <w:rPr>
          <w:rtl/>
        </w:rPr>
      </w:pPr>
    </w:p>
    <w:sectPr w:rsidR="002E4751" w:rsidSect="00891F42">
      <w:headerReference w:type="default" r:id="rId9"/>
      <w:footerReference w:type="default" r:id="rId10"/>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0230" w:rsidRDefault="005A0230">
      <w:r>
        <w:separator/>
      </w:r>
    </w:p>
  </w:endnote>
  <w:endnote w:type="continuationSeparator" w:id="0">
    <w:p w:rsidR="005A0230" w:rsidRDefault="005A0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1E5822">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1E5822">
      <w:rPr>
        <w:rStyle w:val="ab"/>
        <w:rtl/>
      </w:rPr>
      <w:t>4</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0230" w:rsidRDefault="005A0230">
      <w:r>
        <w:separator/>
      </w:r>
    </w:p>
  </w:footnote>
  <w:footnote w:type="continuationSeparator" w:id="0">
    <w:p w:rsidR="005A0230" w:rsidRDefault="005A0230">
      <w:r>
        <w:continuationSeparator/>
      </w:r>
    </w:p>
  </w:footnote>
  <w:footnote w:id="1">
    <w:p w:rsidR="002E4751" w:rsidRDefault="002E4751" w:rsidP="002E4751">
      <w:pPr>
        <w:pStyle w:val="ad"/>
        <w:rPr>
          <w:rtl/>
        </w:rPr>
      </w:pPr>
      <w:r>
        <w:rPr>
          <w:rStyle w:val="af0"/>
        </w:rPr>
        <w:footnoteRef/>
      </w:r>
      <w:r>
        <w:rPr>
          <w:rtl/>
        </w:rPr>
        <w:t xml:space="preserve"> </w:t>
      </w:r>
      <w:r>
        <w:rPr>
          <w:rFonts w:hint="cs"/>
          <w:rtl/>
        </w:rPr>
        <w:t xml:space="preserve">"פנים", זכר ונקבה. ראו: </w:t>
      </w:r>
      <w:hyperlink r:id="rId1" w:history="1">
        <w:r>
          <w:rPr>
            <w:rStyle w:val="Hyperlink"/>
          </w:rPr>
          <w:t>https://hebrew-academy.org.il/keyword/</w:t>
        </w:r>
      </w:hyperlink>
      <w:r>
        <w:rPr>
          <w:rt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בירושלים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5A0230" w:rsidP="00CD516B">
          <w:pPr>
            <w:rPr>
              <w:b/>
              <w:bCs/>
              <w:noProof w:val="0"/>
              <w:sz w:val="26"/>
              <w:szCs w:val="26"/>
              <w:rtl/>
            </w:rPr>
          </w:pPr>
          <w:sdt>
            <w:sdtPr>
              <w:rPr>
                <w:rtl/>
              </w:rPr>
              <w:alias w:val="1170"/>
              <w:tag w:val="1170"/>
              <w:id w:val="1066377040"/>
              <w:text w:multiLine="1"/>
            </w:sdtPr>
            <w:sdtEndPr/>
            <w:sdtContent>
              <w:r w:rsidR="00FE09EC">
                <w:rPr>
                  <w:b/>
                  <w:bCs/>
                  <w:noProof w:val="0"/>
                  <w:sz w:val="26"/>
                  <w:szCs w:val="26"/>
                  <w:rtl/>
                </w:rPr>
                <w:t>ת"פ</w:t>
              </w:r>
            </w:sdtContent>
          </w:sdt>
          <w:r w:rsidR="00005C8B">
            <w:rPr>
              <w:b/>
              <w:bCs/>
              <w:noProof w:val="0"/>
              <w:sz w:val="26"/>
              <w:szCs w:val="26"/>
              <w:rtl/>
            </w:rPr>
            <w:t xml:space="preserve"> </w:t>
          </w:r>
          <w:sdt>
            <w:sdtPr>
              <w:rPr>
                <w:rtl/>
              </w:rPr>
              <w:alias w:val="1171"/>
              <w:tag w:val="1171"/>
              <w:id w:val="257034231"/>
              <w:text w:multiLine="1"/>
            </w:sdtPr>
            <w:sdtEndPr/>
            <w:sdtContent>
              <w:r w:rsidR="00FE09EC">
                <w:rPr>
                  <w:b/>
                  <w:bCs/>
                  <w:noProof w:val="0"/>
                  <w:sz w:val="26"/>
                  <w:szCs w:val="26"/>
                  <w:rtl/>
                </w:rPr>
                <w:t>49761-03-21</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FE09EC">
                <w:rPr>
                  <w:b/>
                  <w:bCs/>
                  <w:noProof w:val="0"/>
                  <w:sz w:val="26"/>
                  <w:szCs w:val="26"/>
                  <w:rtl/>
                </w:rPr>
                <w:t>מדינת ישראל נ' אבו כאמל</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r>
                <w:rPr>
                  <w:rFonts w:hint="eastAsia"/>
                  <w:sz w:val="20"/>
                  <w:szCs w:val="20"/>
                </w:rPr>
                <w:t>532507/2017</w:t>
              </w: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674CE1"/>
    <w:multiLevelType w:val="hybridMultilevel"/>
    <w:tmpl w:val="AB3C97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07DE0"/>
    <w:rsid w:val="000346CC"/>
    <w:rsid w:val="000529D2"/>
    <w:rsid w:val="000564AB"/>
    <w:rsid w:val="00064FBD"/>
    <w:rsid w:val="00082AB2"/>
    <w:rsid w:val="000906FE"/>
    <w:rsid w:val="00096AF7"/>
    <w:rsid w:val="000B344B"/>
    <w:rsid w:val="000C3B0F"/>
    <w:rsid w:val="000C3B60"/>
    <w:rsid w:val="000E0DD2"/>
    <w:rsid w:val="000E3AF1"/>
    <w:rsid w:val="000F0BC8"/>
    <w:rsid w:val="000F0DD6"/>
    <w:rsid w:val="001029C9"/>
    <w:rsid w:val="00107E6D"/>
    <w:rsid w:val="0011194C"/>
    <w:rsid w:val="0011424C"/>
    <w:rsid w:val="001173C6"/>
    <w:rsid w:val="001367BC"/>
    <w:rsid w:val="00144D2A"/>
    <w:rsid w:val="0014653E"/>
    <w:rsid w:val="00180519"/>
    <w:rsid w:val="00191C82"/>
    <w:rsid w:val="001C4003"/>
    <w:rsid w:val="001D4DBF"/>
    <w:rsid w:val="001E5822"/>
    <w:rsid w:val="001E75CA"/>
    <w:rsid w:val="002265FF"/>
    <w:rsid w:val="00235B97"/>
    <w:rsid w:val="00271B56"/>
    <w:rsid w:val="002C344E"/>
    <w:rsid w:val="002E4751"/>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3E8D"/>
    <w:rsid w:val="003D1C8C"/>
    <w:rsid w:val="003F720A"/>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1158F"/>
    <w:rsid w:val="00511B90"/>
    <w:rsid w:val="00520898"/>
    <w:rsid w:val="00521F01"/>
    <w:rsid w:val="00523621"/>
    <w:rsid w:val="00524986"/>
    <w:rsid w:val="005268F6"/>
    <w:rsid w:val="00534284"/>
    <w:rsid w:val="00547DB7"/>
    <w:rsid w:val="005A0230"/>
    <w:rsid w:val="005C0627"/>
    <w:rsid w:val="005F4F09"/>
    <w:rsid w:val="0061431B"/>
    <w:rsid w:val="00622BAA"/>
    <w:rsid w:val="006306CF"/>
    <w:rsid w:val="006318D8"/>
    <w:rsid w:val="00644E9A"/>
    <w:rsid w:val="00671BD5"/>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61441"/>
    <w:rsid w:val="00795365"/>
    <w:rsid w:val="007A351D"/>
    <w:rsid w:val="007B7765"/>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4424E"/>
    <w:rsid w:val="00955642"/>
    <w:rsid w:val="009622DF"/>
    <w:rsid w:val="0096493F"/>
    <w:rsid w:val="00967DFF"/>
    <w:rsid w:val="00994341"/>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E0E34"/>
    <w:rsid w:val="00AE729E"/>
    <w:rsid w:val="00AE7752"/>
    <w:rsid w:val="00AF7FDA"/>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55E3E"/>
    <w:rsid w:val="00C642FA"/>
    <w:rsid w:val="00CA5884"/>
    <w:rsid w:val="00CC7622"/>
    <w:rsid w:val="00CD516B"/>
    <w:rsid w:val="00CD608F"/>
    <w:rsid w:val="00CE0084"/>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basedOn w:val="a0"/>
    <w:semiHidden/>
    <w:unhideWhenUsed/>
    <w:rsid w:val="002E4751"/>
    <w:rPr>
      <w:color w:val="0000FF" w:themeColor="hyperlink"/>
      <w:u w:val="single"/>
    </w:rPr>
  </w:style>
  <w:style w:type="paragraph" w:styleId="ad">
    <w:name w:val="footnote text"/>
    <w:basedOn w:val="a"/>
    <w:link w:val="ae"/>
    <w:semiHidden/>
    <w:unhideWhenUsed/>
    <w:rsid w:val="002E4751"/>
    <w:rPr>
      <w:sz w:val="20"/>
      <w:szCs w:val="20"/>
    </w:rPr>
  </w:style>
  <w:style w:type="character" w:customStyle="1" w:styleId="ae">
    <w:name w:val="טקסט הערת שוליים תו"/>
    <w:basedOn w:val="a0"/>
    <w:link w:val="ad"/>
    <w:semiHidden/>
    <w:rsid w:val="002E4751"/>
    <w:rPr>
      <w:rFonts w:cs="David"/>
      <w:noProof/>
    </w:rPr>
  </w:style>
  <w:style w:type="paragraph" w:styleId="af">
    <w:name w:val="List Paragraph"/>
    <w:basedOn w:val="a"/>
    <w:uiPriority w:val="34"/>
    <w:qFormat/>
    <w:rsid w:val="002E4751"/>
    <w:pPr>
      <w:ind w:left="720"/>
      <w:contextualSpacing/>
    </w:pPr>
  </w:style>
  <w:style w:type="character" w:styleId="af0">
    <w:name w:val="footnote reference"/>
    <w:basedOn w:val="a0"/>
    <w:semiHidden/>
    <w:unhideWhenUsed/>
    <w:rsid w:val="002E4751"/>
    <w:rPr>
      <w:vertAlign w:val="superscript"/>
    </w:rPr>
  </w:style>
  <w:style w:type="character" w:customStyle="1" w:styleId="default">
    <w:name w:val="default"/>
    <w:rsid w:val="002E4751"/>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616354">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hebrew-academy.org.il/keywor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BD69D1" w:rsidP="00BD69D1">
          <w:pPr>
            <w:pStyle w:val="D290653DA13E4E738B7E725F79D7332922"/>
          </w:pPr>
          <w:r>
            <w:rPr>
              <w:rFonts w:hint="eastAsia"/>
              <w:sz w:val="20"/>
              <w:szCs w:val="20"/>
              <w:rtl/>
            </w:rPr>
            <w:t>מספר</w:t>
          </w:r>
          <w:r>
            <w:rPr>
              <w:sz w:val="20"/>
              <w:szCs w:val="20"/>
              <w:rtl/>
            </w:rPr>
            <w:t xml:space="preserve"> תיק חיצוני</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BD69D1" w:rsidP="00BD69D1">
          <w:pPr>
            <w:pStyle w:val="4672CCA166BA4F0A892EB1D7BA0002CB4"/>
          </w:pPr>
          <w:r>
            <w:rPr>
              <w:b/>
              <w:bCs/>
              <w:noProof w:val="0"/>
              <w:sz w:val="26"/>
              <w:szCs w:val="26"/>
              <w:rtl/>
            </w:rPr>
            <w:t>שם תיק ללא שמות חסויים</w:t>
          </w:r>
        </w:p>
      </w:docPartBody>
    </w:docPart>
    <w:docPart>
      <w:docPartPr>
        <w:name w:val="89E9812048804B298B236308C239D5B7"/>
        <w:category>
          <w:name w:val="כללי"/>
          <w:gallery w:val="placeholder"/>
        </w:category>
        <w:types>
          <w:type w:val="bbPlcHdr"/>
        </w:types>
        <w:behaviors>
          <w:behavior w:val="content"/>
        </w:behaviors>
        <w:guid w:val="{754E4244-BE41-4B79-A65D-E749FA5BD7DD}"/>
      </w:docPartPr>
      <w:docPartBody>
        <w:p w:rsidR="00D74C59" w:rsidRDefault="004D7EB5" w:rsidP="004D7EB5">
          <w:pPr>
            <w:pStyle w:val="89E9812048804B298B236308C239D5B7"/>
          </w:pPr>
          <w:r>
            <w:rPr>
              <w:rFonts w:ascii="Arial" w:hAnsi="Arial"/>
              <w:b/>
              <w:bCs/>
              <w:sz w:val="26"/>
              <w:szCs w:val="26"/>
              <w:rtl/>
            </w:rPr>
            <w:t>שם צד א' ללא שם של חסוי</w:t>
          </w:r>
        </w:p>
      </w:docPartBody>
    </w:docPart>
    <w:docPart>
      <w:docPartPr>
        <w:name w:val="F671E34AF96946D4BF19BA64B77ABA94"/>
        <w:category>
          <w:name w:val="כללי"/>
          <w:gallery w:val="placeholder"/>
        </w:category>
        <w:types>
          <w:type w:val="bbPlcHdr"/>
        </w:types>
        <w:behaviors>
          <w:behavior w:val="content"/>
        </w:behaviors>
        <w:guid w:val="{7D9FF9C1-E896-4D4F-9F18-20F728663CFC}"/>
      </w:docPartPr>
      <w:docPartBody>
        <w:p w:rsidR="00D74C59" w:rsidRDefault="004D7EB5" w:rsidP="004D7EB5">
          <w:pPr>
            <w:pStyle w:val="F671E34AF96946D4BF19BA64B77ABA94"/>
          </w:pPr>
          <w:r>
            <w:rPr>
              <w:rFonts w:ascii="Arial" w:hAnsi="Arial"/>
              <w:b/>
              <w:bCs/>
              <w:sz w:val="26"/>
              <w:szCs w:val="26"/>
              <w:rtl/>
            </w:rPr>
            <w:t>שם צד ב' ללא שם של חסוי</w:t>
          </w:r>
        </w:p>
      </w:docPartBody>
    </w:docPart>
    <w:docPart>
      <w:docPartPr>
        <w:name w:val="3B824677E23247C6A45CE73AA619AC41"/>
        <w:category>
          <w:name w:val="כללי"/>
          <w:gallery w:val="placeholder"/>
        </w:category>
        <w:types>
          <w:type w:val="bbPlcHdr"/>
        </w:types>
        <w:behaviors>
          <w:behavior w:val="content"/>
        </w:behaviors>
        <w:guid w:val="{94485CB8-4495-4498-8012-AB2520B56306}"/>
      </w:docPartPr>
      <w:docPartBody>
        <w:p w:rsidR="00D74C59" w:rsidRDefault="004D7EB5" w:rsidP="004D7EB5">
          <w:pPr>
            <w:pStyle w:val="3B824677E23247C6A45CE73AA619AC41"/>
          </w:pPr>
          <w:r>
            <w:rPr>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345C9D"/>
    <w:rsid w:val="0048651F"/>
    <w:rsid w:val="004B017A"/>
    <w:rsid w:val="004D7EB5"/>
    <w:rsid w:val="005157ED"/>
    <w:rsid w:val="00556D67"/>
    <w:rsid w:val="00673B50"/>
    <w:rsid w:val="00793995"/>
    <w:rsid w:val="007C6F98"/>
    <w:rsid w:val="007E254A"/>
    <w:rsid w:val="008B4366"/>
    <w:rsid w:val="009133C7"/>
    <w:rsid w:val="009178E4"/>
    <w:rsid w:val="00961B27"/>
    <w:rsid w:val="009A36E7"/>
    <w:rsid w:val="00AA7CE3"/>
    <w:rsid w:val="00B31AB6"/>
    <w:rsid w:val="00B50DB2"/>
    <w:rsid w:val="00B72BC2"/>
    <w:rsid w:val="00B91FA3"/>
    <w:rsid w:val="00BD69D1"/>
    <w:rsid w:val="00BE6557"/>
    <w:rsid w:val="00C96C06"/>
    <w:rsid w:val="00D24521"/>
    <w:rsid w:val="00D6580E"/>
    <w:rsid w:val="00D74C59"/>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D7EB5"/>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4D7EB5"/>
    <w:pPr>
      <w:bidi/>
      <w:spacing w:after="0" w:line="240" w:lineRule="auto"/>
    </w:pPr>
    <w:rPr>
      <w:rFonts w:ascii="Times New Roman" w:eastAsia="Times New Roman" w:hAnsi="Times New Roman" w:cs="David"/>
      <w:noProof/>
      <w:sz w:val="24"/>
      <w:szCs w:val="24"/>
    </w:rPr>
  </w:style>
  <w:style w:type="paragraph" w:customStyle="1" w:styleId="89E9812048804B298B236308C239D5B7">
    <w:name w:val="89E9812048804B298B236308C239D5B7"/>
    <w:rsid w:val="004D7EB5"/>
    <w:pPr>
      <w:bidi/>
      <w:spacing w:after="160" w:line="259" w:lineRule="auto"/>
    </w:pPr>
  </w:style>
  <w:style w:type="paragraph" w:customStyle="1" w:styleId="F671E34AF96946D4BF19BA64B77ABA94">
    <w:name w:val="F671E34AF96946D4BF19BA64B77ABA94"/>
    <w:rsid w:val="004D7EB5"/>
    <w:pPr>
      <w:bidi/>
      <w:spacing w:after="160" w:line="259" w:lineRule="auto"/>
    </w:pPr>
  </w:style>
  <w:style w:type="paragraph" w:customStyle="1" w:styleId="3B824677E23247C6A45CE73AA619AC41">
    <w:name w:val="3B824677E23247C6A45CE73AA619AC41"/>
    <w:rsid w:val="004D7EB5"/>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1153</Words>
  <Characters>5769</Characters>
  <Application>Microsoft Office Word</Application>
  <DocSecurity>0</DocSecurity>
  <Lines>48</Lines>
  <Paragraphs>13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טטרואשוילי</cp:lastModifiedBy>
  <cp:revision>2</cp:revision>
  <dcterms:created xsi:type="dcterms:W3CDTF">2023-04-20T07:38:00Z</dcterms:created>
  <dcterms:modified xsi:type="dcterms:W3CDTF">2023-04-20T07:38:00Z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165aaeef7e9444b7d65e08be3fef4ec3933184ba3f518b2a366dd94ed3051962</vt:lpwstr>
  </property>
</Properties>
</file>